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BCC" w:rsidRPr="00B84BCC" w:rsidRDefault="00B84BCC" w:rsidP="00B84BCC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84BC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de-DE"/>
        </w:rPr>
        <w:t>Erlangen erhält die Ehrenfahne der Parlamentarischen Versammlung des Europarates in Straßburg</w:t>
      </w:r>
    </w:p>
    <w:p w:rsidR="00B84BCC" w:rsidRPr="00B84BCC" w:rsidRDefault="00B84BCC" w:rsidP="00B84BCC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B84BCC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Das Stadtarchiv hat im Museumswinkel eine neue Heimat gefunden</w:t>
      </w:r>
    </w:p>
    <w:p w:rsidR="00B84BCC" w:rsidRPr="00B84BCC" w:rsidRDefault="00B84BCC" w:rsidP="00B84BCC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B84BCC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Grünes Licht durch den Stadtrat für den Bau des Max-Planck-Instituts für die Physik des Lichts</w:t>
      </w:r>
    </w:p>
    <w:p w:rsidR="00B84BCC" w:rsidRPr="00B84BCC" w:rsidRDefault="00B84BCC" w:rsidP="00B84BCC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B84BCC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Erlangen erhält die Note eins durch den von der Bertelsmann-Stiftung erarbeiteten Deutschen Lern-Atlas 2011</w:t>
      </w:r>
    </w:p>
    <w:p w:rsidR="00B84BCC" w:rsidRPr="00B84BCC" w:rsidRDefault="00B84BCC" w:rsidP="00B84BCC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B84BCC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Erstmals wird die Marke von 98.000 Arbeitsplätzen in Erlangen geknackt</w:t>
      </w:r>
    </w:p>
    <w:p w:rsidR="00B84BCC" w:rsidRPr="00B84BCC" w:rsidRDefault="00B84BCC" w:rsidP="00B84BCC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bookmarkStart w:id="0" w:name="_GoBack"/>
      <w:bookmarkEnd w:id="0"/>
      <w:r w:rsidRPr="00B84BCC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Einführung der Erlangen App</w:t>
      </w:r>
    </w:p>
    <w:p w:rsidR="000F0992" w:rsidRDefault="000F0992"/>
    <w:sectPr w:rsidR="000F09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63F9F"/>
    <w:multiLevelType w:val="hybridMultilevel"/>
    <w:tmpl w:val="CAB64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CC"/>
    <w:rsid w:val="000F0992"/>
    <w:rsid w:val="00B8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E1FFF-1A2B-48F4-951A-DA5E28B6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84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Lange</dc:creator>
  <cp:keywords/>
  <dc:description/>
  <cp:lastModifiedBy>Thea Lange</cp:lastModifiedBy>
  <cp:revision>1</cp:revision>
  <dcterms:created xsi:type="dcterms:W3CDTF">2016-07-26T14:12:00Z</dcterms:created>
  <dcterms:modified xsi:type="dcterms:W3CDTF">2016-07-26T14:17:00Z</dcterms:modified>
</cp:coreProperties>
</file>